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Veřejná zakázka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Interoperabilita e-Health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6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Příloha č. 3 Zadávací dokumentace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Čestné prohlášení IROP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spacing w:line="240" w:lineRule="auto"/>
        <w:ind w:right="-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spacing w:line="240" w:lineRule="auto"/>
        <w:ind w:right="-2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ČESTNÉ PROHLÁŠENÍ </w:t>
      </w:r>
    </w:p>
    <w:p w:rsidR="00000000" w:rsidDel="00000000" w:rsidP="00000000" w:rsidRDefault="00000000" w:rsidRPr="00000000" w14:paraId="00000006">
      <w:pPr>
        <w:pStyle w:val="Subtitle"/>
        <w:spacing w:line="240" w:lineRule="auto"/>
        <w:ind w:right="-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0"/>
          <w:tab w:val="left" w:leader="none" w:pos="360"/>
        </w:tabs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ve vztahu k mezinárodním sankcím přijatým Evropskou unií v souvislosti s ruskou agresí na území Ukrajiny vůči Rusku a Bělorusku</w:t>
      </w:r>
    </w:p>
    <w:p w:rsidR="00000000" w:rsidDel="00000000" w:rsidP="00000000" w:rsidRDefault="00000000" w:rsidRPr="00000000" w14:paraId="00000008">
      <w:pPr>
        <w:pStyle w:val="Subtitle"/>
        <w:spacing w:line="240" w:lineRule="auto"/>
        <w:ind w:right="-2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Subtitle"/>
        <w:ind w:right="-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Subtitle"/>
        <w:ind w:right="-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Dodavatel:</w:t>
      </w:r>
      <w:r w:rsidDel="00000000" w:rsidR="00000000" w:rsidRPr="00000000">
        <w:rPr>
          <w:b w:val="0"/>
          <w:sz w:val="22"/>
          <w:szCs w:val="22"/>
          <w:rtl w:val="0"/>
        </w:rPr>
        <w:t xml:space="preserve">   </w:t>
      </w:r>
    </w:p>
    <w:p w:rsidR="00000000" w:rsidDel="00000000" w:rsidP="00000000" w:rsidRDefault="00000000" w:rsidRPr="00000000" w14:paraId="0000000C">
      <w:pPr>
        <w:ind w:right="-2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p5scog4mo7r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název: 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(doplní účastník)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-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sídlo: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(doplní účastník)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-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IČO: 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(doplní účastník)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2340"/>
        </w:tabs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Prohlašuji, že jako uchazeč o veřejnou zakázku s názvem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„Interoperabilita e-Health“, nejsem dodavatelem ve smyslu nařízení Rady EU č. 2022/576, tj. nejsem:</w:t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a) ruským státním příslušníkem, fyzickou či právnickou osobou, subjektem či orgánem se sídlem v Rusku,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b) právnickou osobou, subjektem nebo orgánem, který je z více než 50 % přímo či nepřímo vlastněný některým ze subjektů uvedených v písmeni a), nebo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c) fyzickou nebo právnickou osobou, subjektem nebo orgánem, který jedná jménem nebo na pokyn některého ze subjektů uvedených v písmeni a) nebo b).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Dále prohlašuji, že nevyužiji při plnění veřejné zakázky poddodavatele, který by naplnil výše uvedená písm. a) – c), pokud by plnil více než 10 % hodnoty zakázky.</w:t>
      </w:r>
    </w:p>
    <w:p w:rsidR="00000000" w:rsidDel="00000000" w:rsidP="00000000" w:rsidRDefault="00000000" w:rsidRPr="00000000" w14:paraId="00000018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Subtitle"/>
        <w:ind w:right="-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000000" w:rsidDel="00000000" w:rsidP="00000000" w:rsidRDefault="00000000" w:rsidRPr="00000000" w14:paraId="0000001A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before="12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1C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rtl w:val="0"/>
        </w:rPr>
        <w:t xml:space="preserve">Datum: </w:t>
      </w:r>
      <w:r w:rsidDel="00000000" w:rsidR="00000000" w:rsidRPr="00000000">
        <w:rPr>
          <w:b w:val="0"/>
          <w:sz w:val="22"/>
          <w:szCs w:val="22"/>
          <w:highlight w:val="yellow"/>
          <w:rtl w:val="0"/>
        </w:rPr>
        <w:t xml:space="preserve">(doplní účastník)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Subtitle"/>
        <w:ind w:right="-2"/>
        <w:jc w:val="both"/>
        <w:rPr>
          <w:b w:val="0"/>
          <w:sz w:val="22"/>
          <w:szCs w:val="22"/>
        </w:rPr>
      </w:pPr>
      <w:r w:rsidDel="00000000" w:rsidR="00000000" w:rsidRPr="00000000">
        <w:rPr>
          <w:b w:val="0"/>
          <w:sz w:val="22"/>
          <w:szCs w:val="22"/>
          <w:highlight w:val="yellow"/>
          <w:rtl w:val="0"/>
        </w:rPr>
        <w:t xml:space="preserve">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-991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(jméno a příjmení, funkce – doplní účastník)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Subtitle"/>
        <w:ind w:right="-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Standardnpsmoodstavce" w:default="1">
    <w:name w:val="Default Paragraph Font"/>
    <w:uiPriority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PodnadpisChar" w:customStyle="1">
    <w:name w:val="Podnadpis Char"/>
    <w:basedOn w:val="Standardnpsmoodstavce"/>
    <w:link w:val="Podnadpis"/>
    <w:rsid w:val="00DD0B71"/>
    <w:rPr>
      <w:rFonts w:ascii="Arial" w:cs="Times New Roman" w:eastAsia="Times New Roman" w:hAnsi="Arial"/>
      <w:b w:val="1"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 w:val="1"/>
    <w:unhideWhenUsed w:val="1"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 w:val="1"/>
    <w:unhideWhenUsed w:val="1"/>
    <w:rsid w:val="00072B20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 w:val="1"/>
    <w:rsid w:val="00072B20"/>
    <w:rPr>
      <w:rFonts w:ascii="Times New Roman" w:cs="Times New Roman" w:eastAsia="Times New Roman" w:hAnsi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 w:val="1"/>
    <w:unhideWhenUsed w:val="1"/>
    <w:rsid w:val="00072B20"/>
    <w:rPr>
      <w:vertAlign w:val="superscript"/>
    </w:rPr>
  </w:style>
  <w:style w:type="character" w:styleId="OdstavecseseznamemChar" w:customStyle="1">
    <w:name w:val="Odstavec se seznamem Char"/>
    <w:aliases w:val="Odstavec cíl se seznamem Char,Bullet Number Char,Odstavec_muj Char,A-Odrážky1 Char,Nad Char,List Paragraph Char"/>
    <w:link w:val="Odstavecseseznamem"/>
    <w:uiPriority w:val="34"/>
    <w:qFormat w:val="1"/>
    <w:locked w:val="1"/>
    <w:rsid w:val="00072B20"/>
    <w:rPr>
      <w:rFonts w:ascii="Arial Narrow" w:cs="Arial Narrow" w:eastAsia="Times New Roman" w:hAnsi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 w:val="1"/>
    <w:rsid w:val="00072B20"/>
    <w:pPr>
      <w:ind w:left="720"/>
      <w:contextualSpacing w:val="1"/>
      <w:jc w:val="both"/>
    </w:pPr>
    <w:rPr>
      <w:rFonts w:ascii="Arial Narrow" w:cs="Arial Narrow" w:hAnsi="Arial Narrow"/>
    </w:rPr>
  </w:style>
  <w:style w:type="paragraph" w:styleId="Zhlav">
    <w:name w:val="header"/>
    <w:basedOn w:val="Normln"/>
    <w:link w:val="ZhlavChar"/>
    <w:uiPriority w:val="99"/>
    <w:unhideWhenUsed w:val="1"/>
    <w:rsid w:val="001D2D1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1D2D1A"/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 w:val="1"/>
    <w:rsid w:val="001D2D1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1D2D1A"/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 w:val="1"/>
    <w:unhideWhenUsed w:val="1"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1D2D1A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1D2D1A"/>
    <w:rPr>
      <w:rFonts w:ascii="Times New Roman" w:cs="Times New Roman" w:eastAsia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1D2D1A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1D2D1A"/>
    <w:rPr>
      <w:rFonts w:ascii="Times New Roman" w:cs="Times New Roman" w:eastAsia="Times New Roman" w:hAnsi="Times New Roman"/>
      <w:b w:val="1"/>
      <w:bCs w:val="1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1D2D1A"/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1D2D1A"/>
    <w:rPr>
      <w:rFonts w:ascii="Segoe UI" w:cs="Segoe UI" w:eastAsia="Times New Roman" w:hAnsi="Segoe UI"/>
      <w:sz w:val="18"/>
      <w:szCs w:val="18"/>
      <w:lang w:eastAsia="cs-CZ"/>
    </w:rPr>
  </w:style>
  <w:style w:type="paragraph" w:styleId="Subtitle">
    <w:name w:val="Subtitle"/>
    <w:basedOn w:val="Normal"/>
    <w:next w:val="Normal"/>
    <w:pPr>
      <w:widowControl w:val="0"/>
      <w:spacing w:line="240" w:lineRule="auto"/>
      <w:jc w:val="center"/>
    </w:pPr>
    <w:rPr>
      <w:rFonts w:ascii="Arial" w:cs="Arial" w:eastAsia="Arial" w:hAnsi="Arial"/>
      <w:b w:val="1"/>
      <w:sz w:val="32"/>
      <w:szCs w:val="3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w9ZnOgF0IPYA39AL7MufVahS2A==">CgMxLjAyDWgucDVzY29nNG1vN3I4AHIhMVgxaXFtRUdna1ZuYlU3SzJnb0hFS05SeUJodlNCNTVZ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2022-05-27T10:11:00Z</dcterms:created>
  <dc:creator>Barková Eva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